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7A9B" w14:textId="4EA00D8F" w:rsidR="000873F5" w:rsidRPr="00561951" w:rsidRDefault="000B6ED9">
      <w:r>
        <w:rPr>
          <w:b/>
        </w:rPr>
        <w:t>Lecture</w:t>
      </w:r>
      <w:r w:rsidR="00D27781">
        <w:rPr>
          <w:b/>
        </w:rPr>
        <w:t xml:space="preserve"> #</w:t>
      </w:r>
      <w:r w:rsidR="000645F0">
        <w:rPr>
          <w:b/>
        </w:rPr>
        <w:t>28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0645F0">
        <w:rPr>
          <w:b/>
        </w:rPr>
        <w:t>Crisis of Legitimacy: Independence in the Hispanic World, Parts I and II</w:t>
      </w:r>
    </w:p>
    <w:p w14:paraId="645C5A3B" w14:textId="77777777" w:rsidR="009B6D44" w:rsidRDefault="009B6D44" w:rsidP="00BC6965">
      <w:pPr>
        <w:rPr>
          <w:u w:val="single"/>
        </w:rPr>
      </w:pPr>
    </w:p>
    <w:p w14:paraId="45FE860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50690A18" w14:textId="3418171A" w:rsidR="002E7FCD" w:rsidRDefault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</w:t>
      </w:r>
      <w:r w:rsidR="00561951">
        <w:rPr>
          <w:rFonts w:cs="Times New Roman"/>
        </w:rPr>
        <w:t xml:space="preserve">class we </w:t>
      </w:r>
      <w:r w:rsidR="00D27781" w:rsidRPr="00D27781">
        <w:rPr>
          <w:rFonts w:cs="Times New Roman"/>
        </w:rPr>
        <w:t xml:space="preserve">examine the coming of independence to Spanish South America in the early 19th century, focusing especially on </w:t>
      </w:r>
      <w:r w:rsidR="00AA42AD">
        <w:rPr>
          <w:rFonts w:cs="Times New Roman"/>
        </w:rPr>
        <w:t>how the coming of independence is rooted in the region’s colonial past.</w:t>
      </w:r>
      <w:r w:rsidR="00D27781" w:rsidRPr="00D27781">
        <w:rPr>
          <w:rFonts w:cs="Times New Roman"/>
        </w:rPr>
        <w:t xml:space="preserve">  </w:t>
      </w:r>
    </w:p>
    <w:p w14:paraId="68B51A1A" w14:textId="77777777" w:rsidR="009F117C" w:rsidRDefault="009F117C"/>
    <w:p w14:paraId="06B73A0E" w14:textId="77777777" w:rsidR="00BC6965" w:rsidRPr="000B6ED9" w:rsidRDefault="00BC6965">
      <w:pPr>
        <w:rPr>
          <w:u w:val="single"/>
        </w:rPr>
      </w:pPr>
      <w:r w:rsidRPr="000B6ED9">
        <w:rPr>
          <w:u w:val="single"/>
        </w:rPr>
        <w:t>Vocabulary</w:t>
      </w:r>
    </w:p>
    <w:p w14:paraId="3E3AE010" w14:textId="77777777" w:rsidR="000645F0" w:rsidRPr="000B6ED9" w:rsidRDefault="000645F0" w:rsidP="000873F5">
      <w:pPr>
        <w:rPr>
          <w:rFonts w:cs="Times New Roman"/>
        </w:rPr>
        <w:sectPr w:rsidR="000645F0" w:rsidRPr="000B6ED9" w:rsidSect="00C54432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73B28965" w14:textId="77777777" w:rsidR="00FE2793" w:rsidRPr="000B6ED9" w:rsidRDefault="00FE2793" w:rsidP="00FE2793">
      <w:r w:rsidRPr="000B6ED9">
        <w:t>Napoleon</w:t>
      </w:r>
    </w:p>
    <w:p w14:paraId="234DE1C0" w14:textId="77777777" w:rsidR="00FE2793" w:rsidRPr="000B6ED9" w:rsidRDefault="00FE2793" w:rsidP="00FE2793">
      <w:r w:rsidRPr="000B6ED9">
        <w:t>Charles IV</w:t>
      </w:r>
    </w:p>
    <w:p w14:paraId="7DDA588A" w14:textId="77777777" w:rsidR="00FE2793" w:rsidRPr="00FE2793" w:rsidRDefault="00FE2793" w:rsidP="00FE2793">
      <w:pPr>
        <w:rPr>
          <w:lang w:val="pt-BR"/>
        </w:rPr>
      </w:pPr>
      <w:r w:rsidRPr="00FE2793">
        <w:rPr>
          <w:lang w:val="pt-BR"/>
        </w:rPr>
        <w:t>Maria Luisa of Parma</w:t>
      </w:r>
    </w:p>
    <w:p w14:paraId="3C83A583" w14:textId="77777777" w:rsidR="00FE2793" w:rsidRPr="00FE2793" w:rsidRDefault="00FE2793" w:rsidP="00FE2793">
      <w:pPr>
        <w:rPr>
          <w:lang w:val="pt-BR"/>
        </w:rPr>
      </w:pPr>
      <w:r w:rsidRPr="00FE2793">
        <w:rPr>
          <w:lang w:val="pt-BR"/>
        </w:rPr>
        <w:t>Manuel de Godoy</w:t>
      </w:r>
    </w:p>
    <w:p w14:paraId="21716457" w14:textId="77777777" w:rsidR="00FE2793" w:rsidRPr="00FE2793" w:rsidRDefault="00FE2793" w:rsidP="00FE2793">
      <w:r w:rsidRPr="00FE2793">
        <w:t>Ferdinand VII</w:t>
      </w:r>
    </w:p>
    <w:p w14:paraId="1623179A" w14:textId="77777777" w:rsidR="00FE2793" w:rsidRPr="00FE2793" w:rsidRDefault="00FE2793" w:rsidP="00FE2793">
      <w:r w:rsidRPr="00FE2793">
        <w:t>Regency Council</w:t>
      </w:r>
    </w:p>
    <w:p w14:paraId="5B4D390C" w14:textId="77777777" w:rsidR="00FE2793" w:rsidRPr="00FE2793" w:rsidRDefault="00FE2793" w:rsidP="00FE2793">
      <w:r w:rsidRPr="00FE2793">
        <w:t>José de San Martín</w:t>
      </w:r>
    </w:p>
    <w:p w14:paraId="3C9273DA" w14:textId="77777777" w:rsidR="00FE2793" w:rsidRPr="00FE2793" w:rsidRDefault="00FE2793" w:rsidP="00FE2793">
      <w:pPr>
        <w:rPr>
          <w:lang w:val="pt-BR"/>
        </w:rPr>
      </w:pPr>
      <w:r w:rsidRPr="00FE2793">
        <w:rPr>
          <w:lang w:val="pt-BR"/>
        </w:rPr>
        <w:t>Simón Bolivár</w:t>
      </w:r>
    </w:p>
    <w:p w14:paraId="59733AA6" w14:textId="77777777" w:rsidR="000237E4" w:rsidRDefault="00FE2793" w:rsidP="00FE2793">
      <w:pPr>
        <w:rPr>
          <w:lang w:val="pt-BR"/>
        </w:rPr>
      </w:pPr>
      <w:r w:rsidRPr="00FE2793">
        <w:rPr>
          <w:lang w:val="pt-BR"/>
        </w:rPr>
        <w:t>Miguel Hidalgo</w:t>
      </w:r>
    </w:p>
    <w:p w14:paraId="2E4CC2D4" w14:textId="3DBCFEC2" w:rsidR="000645F0" w:rsidRDefault="000645F0" w:rsidP="00FE2793">
      <w:pPr>
        <w:rPr>
          <w:lang w:val="pt-BR"/>
        </w:rPr>
      </w:pPr>
      <w:r>
        <w:rPr>
          <w:lang w:val="pt-BR"/>
        </w:rPr>
        <w:t>Agustín de Iturbide</w:t>
      </w:r>
    </w:p>
    <w:p w14:paraId="31C16794" w14:textId="162E53E7" w:rsidR="000645F0" w:rsidRDefault="000645F0" w:rsidP="00FE2793">
      <w:pPr>
        <w:rPr>
          <w:lang w:val="pt-BR"/>
        </w:rPr>
      </w:pPr>
      <w:r>
        <w:rPr>
          <w:lang w:val="pt-BR"/>
        </w:rPr>
        <w:t>Plan of Iguala</w:t>
      </w:r>
    </w:p>
    <w:p w14:paraId="349DE4F2" w14:textId="77777777" w:rsidR="009D74F0" w:rsidRPr="00E173F6" w:rsidRDefault="009D74F0" w:rsidP="00FE2793">
      <w:pPr>
        <w:rPr>
          <w:lang w:val="pt-BR"/>
        </w:rPr>
      </w:pPr>
      <w:r w:rsidRPr="00E173F6">
        <w:rPr>
          <w:lang w:val="pt-BR"/>
        </w:rPr>
        <w:t>Viceroyalty of Río de la Plata</w:t>
      </w:r>
    </w:p>
    <w:p w14:paraId="2864EE4F" w14:textId="77777777" w:rsidR="009D74F0" w:rsidRPr="00E173F6" w:rsidRDefault="009D74F0" w:rsidP="00FE2793">
      <w:pPr>
        <w:rPr>
          <w:lang w:val="pt-BR"/>
        </w:rPr>
      </w:pPr>
      <w:r w:rsidRPr="00E173F6">
        <w:rPr>
          <w:lang w:val="pt-BR"/>
        </w:rPr>
        <w:t>Porteños</w:t>
      </w:r>
    </w:p>
    <w:p w14:paraId="431710BC" w14:textId="77777777" w:rsidR="009D74F0" w:rsidRPr="00E173F6" w:rsidRDefault="009D74F0" w:rsidP="00FE2793">
      <w:pPr>
        <w:rPr>
          <w:lang w:val="pt-BR"/>
        </w:rPr>
      </w:pPr>
      <w:r w:rsidRPr="00E173F6">
        <w:rPr>
          <w:lang w:val="pt-BR"/>
        </w:rPr>
        <w:t>Argentina</w:t>
      </w:r>
    </w:p>
    <w:p w14:paraId="66E9D370" w14:textId="77777777" w:rsidR="009D74F0" w:rsidRPr="00E173F6" w:rsidRDefault="009D74F0" w:rsidP="00FE2793">
      <w:pPr>
        <w:rPr>
          <w:lang w:val="pt-BR"/>
        </w:rPr>
      </w:pPr>
      <w:r w:rsidRPr="00E173F6">
        <w:rPr>
          <w:lang w:val="pt-BR"/>
        </w:rPr>
        <w:t>Bolivia</w:t>
      </w:r>
    </w:p>
    <w:p w14:paraId="3361530B" w14:textId="77777777" w:rsidR="009D74F0" w:rsidRPr="00E173F6" w:rsidRDefault="009D74F0" w:rsidP="00FE2793">
      <w:pPr>
        <w:rPr>
          <w:lang w:val="pt-BR"/>
        </w:rPr>
      </w:pPr>
      <w:r w:rsidRPr="00E173F6">
        <w:rPr>
          <w:lang w:val="pt-BR"/>
        </w:rPr>
        <w:t>Paraguay</w:t>
      </w:r>
    </w:p>
    <w:p w14:paraId="37BBA14B" w14:textId="77777777" w:rsidR="009D74F0" w:rsidRPr="00E173F6" w:rsidRDefault="009D74F0" w:rsidP="00FE2793">
      <w:pPr>
        <w:rPr>
          <w:lang w:val="pt-BR"/>
        </w:rPr>
      </w:pPr>
      <w:r w:rsidRPr="00E173F6">
        <w:rPr>
          <w:lang w:val="pt-BR"/>
        </w:rPr>
        <w:t>Uruguay</w:t>
      </w:r>
    </w:p>
    <w:p w14:paraId="34277AFC" w14:textId="77777777" w:rsidR="00276A99" w:rsidRPr="00E173F6" w:rsidRDefault="00276A99" w:rsidP="002E7FCD">
      <w:pPr>
        <w:rPr>
          <w:rFonts w:cs="Times New Roman"/>
          <w:u w:val="single"/>
          <w:lang w:val="pt-BR"/>
        </w:rPr>
        <w:sectPr w:rsidR="00276A99" w:rsidRPr="00E173F6" w:rsidSect="00276A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A5ECFC" w14:textId="77777777" w:rsidR="00276A99" w:rsidRPr="00E173F6" w:rsidRDefault="00276A99" w:rsidP="002E7FCD">
      <w:pPr>
        <w:rPr>
          <w:rFonts w:cs="Times New Roman"/>
          <w:u w:val="single"/>
          <w:lang w:val="pt-BR"/>
        </w:rPr>
      </w:pPr>
    </w:p>
    <w:p w14:paraId="1D817EC7" w14:textId="77777777" w:rsidR="000873F5" w:rsidRPr="00E173F6" w:rsidRDefault="00BC6965" w:rsidP="000873F5">
      <w:pPr>
        <w:rPr>
          <w:rFonts w:cs="Times New Roman"/>
          <w:u w:val="single"/>
          <w:lang w:val="pt-BR"/>
        </w:rPr>
      </w:pPr>
      <w:r w:rsidRPr="00E173F6">
        <w:rPr>
          <w:rFonts w:cs="Times New Roman"/>
          <w:u w:val="single"/>
          <w:lang w:val="pt-BR"/>
        </w:rPr>
        <w:t>Outline</w:t>
      </w:r>
    </w:p>
    <w:p w14:paraId="0E952AA3" w14:textId="574AD0AA" w:rsidR="007D63DF" w:rsidRDefault="000645F0" w:rsidP="000645F0">
      <w:pPr>
        <w:ind w:left="-1080" w:right="-1170"/>
        <w:rPr>
          <w:rFonts w:cs="Times New Roman"/>
        </w:rPr>
      </w:pPr>
      <w:r w:rsidRPr="000645F0">
        <w:rPr>
          <w:rFonts w:cs="Times New Roman"/>
          <w:i/>
          <w:iCs/>
        </w:rPr>
        <w:t>Pa</w:t>
      </w:r>
      <w:r>
        <w:rPr>
          <w:rFonts w:cs="Times New Roman"/>
          <w:i/>
          <w:iCs/>
        </w:rPr>
        <w:t>rt I</w:t>
      </w:r>
      <w:r>
        <w:rPr>
          <w:rFonts w:cs="Times New Roman"/>
          <w:i/>
          <w:iCs/>
        </w:rPr>
        <w:tab/>
      </w:r>
      <w:r w:rsidR="007D63DF">
        <w:rPr>
          <w:rFonts w:cs="Times New Roman"/>
        </w:rPr>
        <w:t xml:space="preserve">Prologue: </w:t>
      </w:r>
      <w:r w:rsidR="00AA42AD">
        <w:rPr>
          <w:rFonts w:cs="Times New Roman"/>
        </w:rPr>
        <w:t xml:space="preserve">Spanish America in the Enlightenment: A Time of Change </w:t>
      </w:r>
    </w:p>
    <w:p w14:paraId="63DA2E17" w14:textId="77777777" w:rsidR="007D63DF" w:rsidRDefault="007D63DF" w:rsidP="00FE2793">
      <w:pPr>
        <w:ind w:right="-1170"/>
        <w:rPr>
          <w:rFonts w:cs="Times New Roman"/>
        </w:rPr>
      </w:pPr>
    </w:p>
    <w:p w14:paraId="0BE95C1B" w14:textId="535178AB" w:rsidR="00B7118F" w:rsidRDefault="00FE2793" w:rsidP="00FE2793">
      <w:pPr>
        <w:ind w:right="-1170"/>
        <w:rPr>
          <w:rFonts w:cs="Times New Roman"/>
        </w:rPr>
      </w:pPr>
      <w:r>
        <w:rPr>
          <w:rFonts w:cs="Times New Roman"/>
        </w:rPr>
        <w:t xml:space="preserve">Napoleon Bonaparte and the Spanish Monarchy of the Early 19th Century </w:t>
      </w:r>
    </w:p>
    <w:p w14:paraId="3FE40BC2" w14:textId="4FDB9A21" w:rsidR="00AA42AD" w:rsidRDefault="00AA42AD" w:rsidP="00FE2793">
      <w:pPr>
        <w:ind w:right="-1170"/>
        <w:rPr>
          <w:rFonts w:cs="Times New Roman"/>
        </w:rPr>
      </w:pPr>
      <w:r>
        <w:rPr>
          <w:rFonts w:cs="Times New Roman"/>
        </w:rPr>
        <w:tab/>
        <w:t>Spanish Royal Family and Court</w:t>
      </w:r>
    </w:p>
    <w:p w14:paraId="3A92624F" w14:textId="77777777" w:rsidR="00AA42AD" w:rsidRPr="00AA42AD" w:rsidRDefault="00AA42AD" w:rsidP="00FE2793">
      <w:pPr>
        <w:ind w:right="-1170"/>
        <w:rPr>
          <w:rFonts w:cs="Times New Roman"/>
          <w:lang w:val="pt-BR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A42AD">
        <w:rPr>
          <w:rFonts w:cs="Times New Roman"/>
          <w:lang w:val="pt-BR"/>
        </w:rPr>
        <w:t>Charles IV (1748-1819)</w:t>
      </w:r>
    </w:p>
    <w:p w14:paraId="73D2533B" w14:textId="124F8F04" w:rsidR="00AA42AD" w:rsidRPr="00AA42AD" w:rsidRDefault="00AA42AD" w:rsidP="00AA42AD">
      <w:pPr>
        <w:ind w:left="720" w:right="-1170" w:firstLine="720"/>
        <w:rPr>
          <w:rFonts w:cs="Times New Roman"/>
          <w:lang w:val="pt-BR"/>
        </w:rPr>
      </w:pPr>
      <w:r w:rsidRPr="00AA42AD">
        <w:rPr>
          <w:rFonts w:cs="Times New Roman"/>
          <w:lang w:val="pt-BR"/>
        </w:rPr>
        <w:t>María Luísa of Parma (1751-1819)</w:t>
      </w:r>
    </w:p>
    <w:p w14:paraId="38936566" w14:textId="49E4C8CF" w:rsidR="00AA42AD" w:rsidRDefault="00AA42AD" w:rsidP="00AA42AD">
      <w:pPr>
        <w:ind w:left="720" w:right="-1170" w:firstLine="720"/>
        <w:rPr>
          <w:rFonts w:cs="Times New Roman"/>
          <w:lang w:val="pt-BR"/>
        </w:rPr>
      </w:pPr>
      <w:r w:rsidRPr="00AA42AD">
        <w:rPr>
          <w:rFonts w:cs="Times New Roman"/>
          <w:lang w:val="pt-BR"/>
        </w:rPr>
        <w:t>Ma</w:t>
      </w:r>
      <w:r>
        <w:rPr>
          <w:rFonts w:cs="Times New Roman"/>
          <w:lang w:val="pt-BR"/>
        </w:rPr>
        <w:t>nuel de Godoy (1767-1851)</w:t>
      </w:r>
    </w:p>
    <w:p w14:paraId="227DEF81" w14:textId="34370E3A" w:rsidR="00AA42AD" w:rsidRDefault="00AA42AD" w:rsidP="00AA42AD">
      <w:pPr>
        <w:ind w:left="720" w:right="-1170" w:firstLine="720"/>
        <w:rPr>
          <w:rFonts w:cs="Times New Roman"/>
          <w:lang w:val="pt-BR"/>
        </w:rPr>
      </w:pPr>
      <w:r>
        <w:rPr>
          <w:rFonts w:cs="Times New Roman"/>
          <w:lang w:val="pt-BR"/>
        </w:rPr>
        <w:t>Ferdinand VII (1784-1833)</w:t>
      </w:r>
    </w:p>
    <w:p w14:paraId="38FB143E" w14:textId="2E564384" w:rsidR="00AA42AD" w:rsidRPr="00AA42AD" w:rsidRDefault="00AA42AD" w:rsidP="00AA42AD">
      <w:pPr>
        <w:ind w:right="-1170"/>
        <w:rPr>
          <w:rFonts w:cs="Times New Roman"/>
        </w:rPr>
      </w:pPr>
      <w:r>
        <w:rPr>
          <w:rFonts w:cs="Times New Roman"/>
          <w:lang w:val="pt-BR"/>
        </w:rPr>
        <w:tab/>
      </w:r>
      <w:r w:rsidRPr="00AA42AD">
        <w:rPr>
          <w:rFonts w:cs="Times New Roman"/>
        </w:rPr>
        <w:t>Crisis of Legitimacy: Napoleon’s I</w:t>
      </w:r>
      <w:r>
        <w:rPr>
          <w:rFonts w:cs="Times New Roman"/>
        </w:rPr>
        <w:t>nvasion of Spain (1808)</w:t>
      </w:r>
    </w:p>
    <w:p w14:paraId="127F3A0C" w14:textId="77777777" w:rsidR="000A4D7F" w:rsidRDefault="000A4D7F" w:rsidP="000873F5">
      <w:pPr>
        <w:rPr>
          <w:rFonts w:cs="Times New Roman"/>
        </w:rPr>
      </w:pPr>
    </w:p>
    <w:p w14:paraId="3DE395FB" w14:textId="7B9A3DA3" w:rsidR="00AA42AD" w:rsidRDefault="00AA42AD" w:rsidP="000873F5">
      <w:pPr>
        <w:rPr>
          <w:rFonts w:cs="Times New Roman"/>
        </w:rPr>
      </w:pPr>
      <w:r>
        <w:rPr>
          <w:rFonts w:cs="Times New Roman"/>
        </w:rPr>
        <w:t xml:space="preserve">Independence in Mexico </w:t>
      </w:r>
    </w:p>
    <w:p w14:paraId="217894EF" w14:textId="143778B4" w:rsidR="00E348AC" w:rsidRDefault="00E348AC" w:rsidP="00AA42AD">
      <w:pPr>
        <w:ind w:firstLine="720"/>
        <w:rPr>
          <w:rFonts w:cs="Times New Roman"/>
        </w:rPr>
      </w:pPr>
      <w:r>
        <w:rPr>
          <w:rFonts w:cs="Times New Roman"/>
        </w:rPr>
        <w:t xml:space="preserve">Background on </w:t>
      </w:r>
      <w:r w:rsidR="00AA42AD">
        <w:rPr>
          <w:rFonts w:cs="Times New Roman"/>
        </w:rPr>
        <w:t>Miguel Hidalgo (1753-1811</w:t>
      </w:r>
      <w:r>
        <w:rPr>
          <w:rFonts w:cs="Times New Roman"/>
        </w:rPr>
        <w:t>)</w:t>
      </w:r>
    </w:p>
    <w:p w14:paraId="3F859295" w14:textId="0A2672AE" w:rsidR="00E348AC" w:rsidRDefault="00E348AC" w:rsidP="00E348AC">
      <w:pPr>
        <w:ind w:left="720" w:firstLine="720"/>
        <w:rPr>
          <w:rFonts w:cs="Times New Roman"/>
        </w:rPr>
      </w:pPr>
      <w:r>
        <w:rPr>
          <w:rFonts w:cs="Times New Roman"/>
        </w:rPr>
        <w:t>In the Name of the Virgin and Ferdinand VII:</w:t>
      </w:r>
      <w:r>
        <w:rPr>
          <w:rFonts w:cs="Times New Roman"/>
        </w:rPr>
        <w:t xml:space="preserve"> </w:t>
      </w:r>
      <w:r>
        <w:rPr>
          <w:rFonts w:cs="Times New Roman"/>
        </w:rPr>
        <w:t>Revolution from Below</w:t>
      </w:r>
    </w:p>
    <w:p w14:paraId="6DB1B795" w14:textId="77777777" w:rsidR="00E348AC" w:rsidRDefault="00E348AC" w:rsidP="00AA42AD">
      <w:pPr>
        <w:ind w:firstLine="720"/>
        <w:rPr>
          <w:rFonts w:cs="Times New Roman"/>
        </w:rPr>
      </w:pPr>
      <w:r>
        <w:rPr>
          <w:rFonts w:cs="Times New Roman"/>
        </w:rPr>
        <w:t>Agustín de Iturbide and the Plan of Iguala (1821)</w:t>
      </w:r>
    </w:p>
    <w:p w14:paraId="1B1EA7AB" w14:textId="20D7E0CC" w:rsidR="00E348AC" w:rsidRDefault="00E348AC" w:rsidP="00AA42AD">
      <w:pPr>
        <w:ind w:firstLine="720"/>
        <w:rPr>
          <w:rFonts w:cs="Times New Roman"/>
        </w:rPr>
      </w:pPr>
      <w:r>
        <w:rPr>
          <w:rFonts w:cs="Times New Roman"/>
        </w:rPr>
        <w:t>Iturbide Declares himself Agustín I (1822)</w:t>
      </w:r>
    </w:p>
    <w:p w14:paraId="21FAA19D" w14:textId="3AEC9333" w:rsidR="00E348AC" w:rsidRDefault="00E348AC" w:rsidP="00AA42AD">
      <w:pPr>
        <w:ind w:firstLine="720"/>
        <w:rPr>
          <w:rFonts w:cs="Times New Roman"/>
        </w:rPr>
      </w:pPr>
      <w:r>
        <w:rPr>
          <w:rFonts w:cs="Times New Roman"/>
        </w:rPr>
        <w:t>Creation of a Republic by Antonio López de Santa Anna (1823)</w:t>
      </w:r>
    </w:p>
    <w:p w14:paraId="08925C07" w14:textId="77777777" w:rsidR="00AA42AD" w:rsidRPr="00AA42AD" w:rsidRDefault="00AA42AD" w:rsidP="000873F5">
      <w:pPr>
        <w:rPr>
          <w:rFonts w:cs="Times New Roman"/>
        </w:rPr>
      </w:pPr>
    </w:p>
    <w:p w14:paraId="35E2A7B7" w14:textId="3408CE59" w:rsidR="00FE2793" w:rsidRDefault="00FE2793" w:rsidP="000873F5">
      <w:pPr>
        <w:rPr>
          <w:rFonts w:cs="Times New Roman"/>
        </w:rPr>
      </w:pPr>
      <w:r>
        <w:rPr>
          <w:rFonts w:cs="Times New Roman"/>
        </w:rPr>
        <w:t>Independence in the Southern Cone</w:t>
      </w:r>
    </w:p>
    <w:p w14:paraId="5348EAA6" w14:textId="77777777" w:rsidR="00FE2793" w:rsidRDefault="00FE2793" w:rsidP="000873F5">
      <w:pPr>
        <w:rPr>
          <w:rFonts w:cs="Times New Roman"/>
        </w:rPr>
      </w:pPr>
      <w:r>
        <w:rPr>
          <w:rFonts w:cs="Times New Roman"/>
        </w:rPr>
        <w:tab/>
        <w:t>Background on the Viceroyalty of Río de La Plata (established 1776)</w:t>
      </w:r>
    </w:p>
    <w:p w14:paraId="2F5ED3F9" w14:textId="77777777" w:rsidR="00FE2793" w:rsidRDefault="00FE2793" w:rsidP="000873F5">
      <w:pPr>
        <w:rPr>
          <w:rFonts w:cs="Times New Roman"/>
        </w:rPr>
      </w:pPr>
      <w:r>
        <w:rPr>
          <w:rFonts w:cs="Times New Roman"/>
        </w:rPr>
        <w:tab/>
        <w:t>Unrest among the Porte</w:t>
      </w:r>
      <w:r w:rsidRPr="00FE2793">
        <w:rPr>
          <w:rFonts w:cs="Times New Roman"/>
        </w:rPr>
        <w:t xml:space="preserve">ños of </w:t>
      </w:r>
      <w:r>
        <w:rPr>
          <w:rFonts w:cs="Times New Roman"/>
        </w:rPr>
        <w:t>Buenos Aires (1810)</w:t>
      </w:r>
    </w:p>
    <w:p w14:paraId="63F6BFFC" w14:textId="77777777" w:rsidR="00FE2793" w:rsidRDefault="00FE2793" w:rsidP="000873F5">
      <w:pPr>
        <w:rPr>
          <w:rFonts w:cs="Times New Roman"/>
        </w:rPr>
      </w:pPr>
      <w:r>
        <w:rPr>
          <w:rFonts w:cs="Times New Roman"/>
        </w:rPr>
        <w:tab/>
        <w:t>From Viceroyalty to the United Provinces of Río de las Plata (1813)</w:t>
      </w:r>
    </w:p>
    <w:p w14:paraId="0C302029" w14:textId="51FDB3BD" w:rsidR="00FE2793" w:rsidRDefault="00FE2793" w:rsidP="000645F0">
      <w:pPr>
        <w:ind w:left="-1080"/>
        <w:rPr>
          <w:rFonts w:cs="Times New Roman"/>
        </w:rPr>
      </w:pPr>
      <w:r>
        <w:rPr>
          <w:rFonts w:cs="Times New Roman"/>
        </w:rPr>
        <w:tab/>
      </w:r>
      <w:r w:rsidR="000645F0">
        <w:rPr>
          <w:rFonts w:cs="Times New Roman"/>
          <w:i/>
          <w:iCs/>
        </w:rPr>
        <w:t>Part II</w:t>
      </w:r>
      <w:r w:rsidR="000645F0">
        <w:rPr>
          <w:rFonts w:cs="Times New Roman"/>
          <w:i/>
          <w:iCs/>
        </w:rPr>
        <w:tab/>
      </w:r>
      <w:r w:rsidR="000645F0">
        <w:rPr>
          <w:rFonts w:cs="Times New Roman"/>
          <w:i/>
          <w:iCs/>
        </w:rPr>
        <w:tab/>
      </w:r>
      <w:r w:rsidR="009D74F0">
        <w:rPr>
          <w:rFonts w:cs="Times New Roman"/>
        </w:rPr>
        <w:t>Old Colonial Fissures and the Fracturing of Union</w:t>
      </w:r>
    </w:p>
    <w:p w14:paraId="2AB56809" w14:textId="5172F3C1" w:rsidR="00E348AC" w:rsidRDefault="00E348AC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Revisiting the Bourbon Reforms and Colonial Government</w:t>
      </w:r>
    </w:p>
    <w:p w14:paraId="644C10EE" w14:textId="38A5B685" w:rsidR="00E348AC" w:rsidRDefault="00E348AC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Viceroyalties, Audiencias, Provincial Districts, Cabildos</w:t>
      </w:r>
    </w:p>
    <w:p w14:paraId="6B79687E" w14:textId="1BB3380C" w:rsidR="00E348AC" w:rsidRDefault="00E348AC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Bourbon Reforms and the Addition of New Viceroyalties</w:t>
      </w:r>
    </w:p>
    <w:p w14:paraId="2D4E70CE" w14:textId="77777777" w:rsidR="009D74F0" w:rsidRDefault="009D74F0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Case Studies: Bolivia, Paraguay, Uruguay</w:t>
      </w:r>
    </w:p>
    <w:p w14:paraId="354A533F" w14:textId="77777777" w:rsidR="009D74F0" w:rsidRDefault="009D74F0" w:rsidP="000873F5">
      <w:pPr>
        <w:rPr>
          <w:rFonts w:cs="Times New Roman"/>
        </w:rPr>
      </w:pPr>
      <w:r>
        <w:rPr>
          <w:rFonts w:cs="Times New Roman"/>
        </w:rPr>
        <w:tab/>
        <w:t>Return of the King (1814)</w:t>
      </w:r>
    </w:p>
    <w:p w14:paraId="7F686B81" w14:textId="77777777" w:rsidR="009D74F0" w:rsidRDefault="009D74F0" w:rsidP="000873F5">
      <w:pPr>
        <w:rPr>
          <w:rFonts w:cs="Times New Roman"/>
        </w:rPr>
      </w:pPr>
    </w:p>
    <w:p w14:paraId="63F128F9" w14:textId="7959719D" w:rsidR="00B7118F" w:rsidRPr="00952D2B" w:rsidRDefault="009D74F0" w:rsidP="000873F5">
      <w:pPr>
        <w:rPr>
          <w:rFonts w:cs="Times New Roman"/>
        </w:rPr>
      </w:pPr>
      <w:r>
        <w:rPr>
          <w:rFonts w:cs="Times New Roman"/>
        </w:rPr>
        <w:t>Epilogue: The Colonial Past Matters</w:t>
      </w:r>
      <w:r w:rsidR="00E348AC">
        <w:rPr>
          <w:rFonts w:cs="Times New Roman"/>
        </w:rPr>
        <w:t>: The Story of Simón Bolivár</w:t>
      </w:r>
    </w:p>
    <w:sectPr w:rsidR="00B7118F" w:rsidRPr="00952D2B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17CB8"/>
    <w:rsid w:val="000237E4"/>
    <w:rsid w:val="00055D75"/>
    <w:rsid w:val="000645F0"/>
    <w:rsid w:val="000873F5"/>
    <w:rsid w:val="000A4D7F"/>
    <w:rsid w:val="000B3B5E"/>
    <w:rsid w:val="000B6ED9"/>
    <w:rsid w:val="000D67E5"/>
    <w:rsid w:val="00103564"/>
    <w:rsid w:val="001106C9"/>
    <w:rsid w:val="00175FB8"/>
    <w:rsid w:val="001B424C"/>
    <w:rsid w:val="001E09C7"/>
    <w:rsid w:val="00253FFE"/>
    <w:rsid w:val="00276A99"/>
    <w:rsid w:val="002A35E7"/>
    <w:rsid w:val="002B7D00"/>
    <w:rsid w:val="002E7FCD"/>
    <w:rsid w:val="00311773"/>
    <w:rsid w:val="003A05E7"/>
    <w:rsid w:val="003B017C"/>
    <w:rsid w:val="003E2B94"/>
    <w:rsid w:val="004721CF"/>
    <w:rsid w:val="004811A7"/>
    <w:rsid w:val="004D14AD"/>
    <w:rsid w:val="004D66D1"/>
    <w:rsid w:val="00561951"/>
    <w:rsid w:val="005A05F6"/>
    <w:rsid w:val="005E6081"/>
    <w:rsid w:val="006102D7"/>
    <w:rsid w:val="00613607"/>
    <w:rsid w:val="00660D84"/>
    <w:rsid w:val="006B5207"/>
    <w:rsid w:val="006B559D"/>
    <w:rsid w:val="007661AE"/>
    <w:rsid w:val="00776DFE"/>
    <w:rsid w:val="007D63DF"/>
    <w:rsid w:val="007E4237"/>
    <w:rsid w:val="008142B9"/>
    <w:rsid w:val="00827DAE"/>
    <w:rsid w:val="008E0E93"/>
    <w:rsid w:val="008E2337"/>
    <w:rsid w:val="008E3676"/>
    <w:rsid w:val="008E7293"/>
    <w:rsid w:val="009151A9"/>
    <w:rsid w:val="00952D2B"/>
    <w:rsid w:val="00970DED"/>
    <w:rsid w:val="009B6D44"/>
    <w:rsid w:val="009D74F0"/>
    <w:rsid w:val="009E3A64"/>
    <w:rsid w:val="009F117C"/>
    <w:rsid w:val="00A445D3"/>
    <w:rsid w:val="00A658AA"/>
    <w:rsid w:val="00AA42AD"/>
    <w:rsid w:val="00AC76DC"/>
    <w:rsid w:val="00B33FAE"/>
    <w:rsid w:val="00B7118F"/>
    <w:rsid w:val="00BA3CD7"/>
    <w:rsid w:val="00BA62EA"/>
    <w:rsid w:val="00BC6965"/>
    <w:rsid w:val="00C54432"/>
    <w:rsid w:val="00C57BFB"/>
    <w:rsid w:val="00C715AC"/>
    <w:rsid w:val="00C8639E"/>
    <w:rsid w:val="00CC1E38"/>
    <w:rsid w:val="00CD55AB"/>
    <w:rsid w:val="00D214F3"/>
    <w:rsid w:val="00D23B6E"/>
    <w:rsid w:val="00D27781"/>
    <w:rsid w:val="00DA77F7"/>
    <w:rsid w:val="00DF36AA"/>
    <w:rsid w:val="00E173F6"/>
    <w:rsid w:val="00E3005A"/>
    <w:rsid w:val="00E348AC"/>
    <w:rsid w:val="00E36BF4"/>
    <w:rsid w:val="00E43325"/>
    <w:rsid w:val="00E669AD"/>
    <w:rsid w:val="00EC4C5D"/>
    <w:rsid w:val="00F37AA5"/>
    <w:rsid w:val="00F43065"/>
    <w:rsid w:val="00FE279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93CF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12</cp:revision>
  <cp:lastPrinted>2023-02-22T14:22:00Z</cp:lastPrinted>
  <dcterms:created xsi:type="dcterms:W3CDTF">2023-02-24T14:10:00Z</dcterms:created>
  <dcterms:modified xsi:type="dcterms:W3CDTF">2024-12-06T14:40:00Z</dcterms:modified>
</cp:coreProperties>
</file>